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0B52" w14:textId="0BE10E64" w:rsidR="0055130B" w:rsidRDefault="004D1F90">
      <w:r w:rsidRPr="00A54C54">
        <w:rPr>
          <w:noProof/>
          <w:lang w:eastAsia="es-ES"/>
        </w:rPr>
        <w:drawing>
          <wp:inline distT="0" distB="0" distL="0" distR="0" wp14:anchorId="53F1C2F5" wp14:editId="525E1B0A">
            <wp:extent cx="1922145" cy="534035"/>
            <wp:effectExtent l="0" t="0" r="1905" b="0"/>
            <wp:docPr id="1" name="Imagen 2" descr="ODS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SCONSEJ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2145" cy="534035"/>
                    </a:xfrm>
                    <a:prstGeom prst="rect">
                      <a:avLst/>
                    </a:prstGeom>
                    <a:noFill/>
                    <a:ln>
                      <a:noFill/>
                    </a:ln>
                  </pic:spPr>
                </pic:pic>
              </a:graphicData>
            </a:graphic>
          </wp:inline>
        </w:drawing>
      </w:r>
    </w:p>
    <w:p w14:paraId="3239E269" w14:textId="77777777" w:rsidR="00EF75DA" w:rsidRPr="00EF75DA" w:rsidRDefault="00EF75DA" w:rsidP="00C75A00">
      <w:pPr>
        <w:rPr>
          <w:b/>
          <w:bCs/>
          <w:sz w:val="32"/>
          <w:szCs w:val="32"/>
        </w:rPr>
      </w:pPr>
    </w:p>
    <w:p w14:paraId="6EE58D6E" w14:textId="0C3E70CF" w:rsidR="00C75A00" w:rsidRPr="00C75A00" w:rsidRDefault="00EF75DA" w:rsidP="00102884">
      <w:pPr>
        <w:jc w:val="center"/>
        <w:rPr>
          <w:b/>
          <w:bCs/>
          <w:sz w:val="32"/>
          <w:szCs w:val="32"/>
        </w:rPr>
      </w:pPr>
      <w:r w:rsidRPr="00EF75DA">
        <w:rPr>
          <w:b/>
          <w:bCs/>
          <w:sz w:val="32"/>
          <w:szCs w:val="32"/>
        </w:rPr>
        <w:t>DECLARACIÓN INST</w:t>
      </w:r>
      <w:r w:rsidR="00423355">
        <w:rPr>
          <w:b/>
          <w:bCs/>
          <w:sz w:val="32"/>
          <w:szCs w:val="32"/>
        </w:rPr>
        <w:t>IT</w:t>
      </w:r>
      <w:r w:rsidRPr="00EF75DA">
        <w:rPr>
          <w:b/>
          <w:bCs/>
          <w:sz w:val="32"/>
          <w:szCs w:val="32"/>
        </w:rPr>
        <w:t xml:space="preserve">UCIONAL EN DEFENSA </w:t>
      </w:r>
      <w:r w:rsidR="008743A6">
        <w:rPr>
          <w:b/>
          <w:bCs/>
          <w:sz w:val="32"/>
          <w:szCs w:val="32"/>
        </w:rPr>
        <w:t>DE</w:t>
      </w:r>
      <w:r w:rsidR="00D63762">
        <w:rPr>
          <w:b/>
          <w:bCs/>
          <w:sz w:val="32"/>
          <w:szCs w:val="32"/>
        </w:rPr>
        <w:t xml:space="preserve">L RESPETO A </w:t>
      </w:r>
      <w:r w:rsidR="00791CC4">
        <w:rPr>
          <w:b/>
          <w:bCs/>
          <w:sz w:val="32"/>
          <w:szCs w:val="32"/>
        </w:rPr>
        <w:t>LA CONFI</w:t>
      </w:r>
      <w:r w:rsidR="00423355">
        <w:rPr>
          <w:b/>
          <w:bCs/>
          <w:sz w:val="32"/>
          <w:szCs w:val="32"/>
        </w:rPr>
        <w:t>D</w:t>
      </w:r>
      <w:r w:rsidR="00791CC4">
        <w:rPr>
          <w:b/>
          <w:bCs/>
          <w:sz w:val="32"/>
          <w:szCs w:val="32"/>
        </w:rPr>
        <w:t>ENCIALIDAD</w:t>
      </w:r>
      <w:r w:rsidR="00D63762">
        <w:rPr>
          <w:b/>
          <w:bCs/>
          <w:sz w:val="32"/>
          <w:szCs w:val="32"/>
        </w:rPr>
        <w:t xml:space="preserve"> DE LAS COMUNICACIONES EN LOS PROTOCOLOS </w:t>
      </w:r>
      <w:r w:rsidR="00D63762" w:rsidRPr="00D63762">
        <w:rPr>
          <w:b/>
          <w:bCs/>
          <w:sz w:val="32"/>
          <w:szCs w:val="32"/>
        </w:rPr>
        <w:t>DE ACTUACIÓN PARA JUICIOS DE CONFORMIDAD</w:t>
      </w:r>
    </w:p>
    <w:p w14:paraId="6B05EAAA" w14:textId="6B8A7C5A" w:rsidR="00E07968" w:rsidRDefault="00963779" w:rsidP="00E07968">
      <w:pPr>
        <w:jc w:val="both"/>
        <w:rPr>
          <w:sz w:val="32"/>
          <w:szCs w:val="32"/>
        </w:rPr>
      </w:pPr>
      <w:r>
        <w:rPr>
          <w:sz w:val="32"/>
          <w:szCs w:val="32"/>
        </w:rPr>
        <w:t xml:space="preserve">El </w:t>
      </w:r>
      <w:r w:rsidR="00E07968">
        <w:rPr>
          <w:sz w:val="32"/>
          <w:szCs w:val="32"/>
        </w:rPr>
        <w:t>Consejo General de la Abogacía Española</w:t>
      </w:r>
      <w:r w:rsidR="00C206C2">
        <w:rPr>
          <w:sz w:val="32"/>
          <w:szCs w:val="32"/>
        </w:rPr>
        <w:t xml:space="preserve"> reunido en Pleno</w:t>
      </w:r>
      <w:r w:rsidR="00E07968">
        <w:rPr>
          <w:sz w:val="32"/>
          <w:szCs w:val="32"/>
        </w:rPr>
        <w:t xml:space="preserve"> considera que las recientes informaciones aparecidas en los medios de comunicación y el comunicado de la Fiscalía Provincial de Madrid en relación con la denuncia interpuesta por dicha Fiscalía </w:t>
      </w:r>
      <w:r w:rsidR="00FA688E">
        <w:rPr>
          <w:sz w:val="32"/>
          <w:szCs w:val="32"/>
        </w:rPr>
        <w:t>conta D.</w:t>
      </w:r>
      <w:r w:rsidR="00E07968">
        <w:rPr>
          <w:sz w:val="32"/>
          <w:szCs w:val="32"/>
        </w:rPr>
        <w:t xml:space="preserve"> Alberto González Amador, deben ser objeto de las siguientes </w:t>
      </w:r>
      <w:r w:rsidR="00FA688E">
        <w:rPr>
          <w:sz w:val="32"/>
          <w:szCs w:val="32"/>
        </w:rPr>
        <w:t>consideraciones</w:t>
      </w:r>
      <w:r w:rsidR="00E07968">
        <w:rPr>
          <w:sz w:val="32"/>
          <w:szCs w:val="32"/>
        </w:rPr>
        <w:t>:</w:t>
      </w:r>
    </w:p>
    <w:p w14:paraId="6C89ABEC" w14:textId="72E3573D" w:rsidR="00E07968" w:rsidRDefault="00E07968" w:rsidP="00E07968">
      <w:pPr>
        <w:pStyle w:val="Prrafodelista"/>
        <w:numPr>
          <w:ilvl w:val="0"/>
          <w:numId w:val="4"/>
        </w:numPr>
        <w:jc w:val="both"/>
        <w:rPr>
          <w:sz w:val="32"/>
          <w:szCs w:val="32"/>
        </w:rPr>
      </w:pPr>
      <w:r>
        <w:rPr>
          <w:sz w:val="32"/>
          <w:szCs w:val="32"/>
        </w:rPr>
        <w:t>La difusión del contenido concreto de comunicaciones, en este caso correos electrónicos, intercambiad</w:t>
      </w:r>
      <w:r w:rsidR="00C206C2">
        <w:rPr>
          <w:sz w:val="32"/>
          <w:szCs w:val="32"/>
        </w:rPr>
        <w:t>a</w:t>
      </w:r>
      <w:r>
        <w:rPr>
          <w:sz w:val="32"/>
          <w:szCs w:val="32"/>
        </w:rPr>
        <w:t xml:space="preserve">s entre el Ministerio Fiscal y la defensa de un investigado supone </w:t>
      </w:r>
      <w:r w:rsidR="00FA688E" w:rsidRPr="00E07968">
        <w:rPr>
          <w:sz w:val="32"/>
          <w:szCs w:val="32"/>
        </w:rPr>
        <w:t>una clara vulneración</w:t>
      </w:r>
      <w:r w:rsidRPr="00E07968">
        <w:rPr>
          <w:sz w:val="32"/>
          <w:szCs w:val="32"/>
        </w:rPr>
        <w:t xml:space="preserve"> </w:t>
      </w:r>
      <w:r w:rsidR="00D63762">
        <w:rPr>
          <w:sz w:val="32"/>
          <w:szCs w:val="32"/>
        </w:rPr>
        <w:t xml:space="preserve">de la </w:t>
      </w:r>
      <w:r w:rsidRPr="00E07968">
        <w:rPr>
          <w:sz w:val="32"/>
          <w:szCs w:val="32"/>
        </w:rPr>
        <w:t>garantía de confidencialidad en las comunicaciones entre las partes</w:t>
      </w:r>
      <w:r w:rsidR="00C206C2">
        <w:rPr>
          <w:sz w:val="32"/>
          <w:szCs w:val="32"/>
        </w:rPr>
        <w:t xml:space="preserve"> que este Pleno rechaza y condena</w:t>
      </w:r>
      <w:r>
        <w:rPr>
          <w:sz w:val="32"/>
          <w:szCs w:val="32"/>
        </w:rPr>
        <w:t>.</w:t>
      </w:r>
    </w:p>
    <w:p w14:paraId="5C909AEC" w14:textId="4348C118" w:rsidR="00E07968" w:rsidRDefault="00E07968" w:rsidP="00E07968">
      <w:pPr>
        <w:pStyle w:val="Prrafodelista"/>
        <w:numPr>
          <w:ilvl w:val="0"/>
          <w:numId w:val="4"/>
        </w:numPr>
        <w:jc w:val="both"/>
        <w:rPr>
          <w:sz w:val="32"/>
          <w:szCs w:val="32"/>
        </w:rPr>
      </w:pPr>
      <w:r>
        <w:rPr>
          <w:sz w:val="32"/>
          <w:szCs w:val="32"/>
        </w:rPr>
        <w:t xml:space="preserve">Es imprescindible que dichos extremos sean objeto de investigación para determinar </w:t>
      </w:r>
      <w:r w:rsidR="00FA688E">
        <w:rPr>
          <w:sz w:val="32"/>
          <w:szCs w:val="32"/>
        </w:rPr>
        <w:t>su autoría e iniciar las acciones penales</w:t>
      </w:r>
      <w:r w:rsidR="008743A6">
        <w:rPr>
          <w:sz w:val="32"/>
          <w:szCs w:val="32"/>
        </w:rPr>
        <w:t xml:space="preserve"> o </w:t>
      </w:r>
      <w:r w:rsidR="00C206C2">
        <w:rPr>
          <w:sz w:val="32"/>
          <w:szCs w:val="32"/>
        </w:rPr>
        <w:t>disciplinarias</w:t>
      </w:r>
      <w:r w:rsidR="00FA688E">
        <w:rPr>
          <w:sz w:val="32"/>
          <w:szCs w:val="32"/>
        </w:rPr>
        <w:t xml:space="preserve"> </w:t>
      </w:r>
      <w:r>
        <w:rPr>
          <w:sz w:val="32"/>
          <w:szCs w:val="32"/>
        </w:rPr>
        <w:t xml:space="preserve">contra quien corresponda. </w:t>
      </w:r>
    </w:p>
    <w:p w14:paraId="5339DA97" w14:textId="7CC3E3F1" w:rsidR="00E07968" w:rsidRDefault="00E07968" w:rsidP="00E07968">
      <w:pPr>
        <w:pStyle w:val="Prrafodelista"/>
        <w:numPr>
          <w:ilvl w:val="0"/>
          <w:numId w:val="4"/>
        </w:numPr>
        <w:jc w:val="both"/>
        <w:rPr>
          <w:sz w:val="32"/>
          <w:szCs w:val="32"/>
        </w:rPr>
      </w:pPr>
      <w:r>
        <w:rPr>
          <w:sz w:val="32"/>
          <w:szCs w:val="32"/>
        </w:rPr>
        <w:t>Es legitimo que el Ministerio Fiscal, en el uso de las facultades que le atribuye su Estatuto Orgánico, informe en relación con hechos aparecidos en medios de comunicación en los que se cuestione su actuación.</w:t>
      </w:r>
    </w:p>
    <w:p w14:paraId="68C77DDD" w14:textId="41D3B0FB" w:rsidR="00E07968" w:rsidRDefault="00E07968" w:rsidP="00C206C2">
      <w:pPr>
        <w:pStyle w:val="Prrafodelista"/>
        <w:jc w:val="both"/>
        <w:rPr>
          <w:sz w:val="32"/>
          <w:szCs w:val="32"/>
        </w:rPr>
      </w:pPr>
      <w:r>
        <w:rPr>
          <w:sz w:val="32"/>
          <w:szCs w:val="32"/>
        </w:rPr>
        <w:t xml:space="preserve">Sin embargo, para este Consejo dichas </w:t>
      </w:r>
      <w:r w:rsidR="00FA688E">
        <w:rPr>
          <w:sz w:val="32"/>
          <w:szCs w:val="32"/>
        </w:rPr>
        <w:t>comunicaci</w:t>
      </w:r>
      <w:r w:rsidR="00791CC4">
        <w:rPr>
          <w:sz w:val="32"/>
          <w:szCs w:val="32"/>
        </w:rPr>
        <w:t>ones</w:t>
      </w:r>
      <w:r w:rsidR="00FA688E">
        <w:rPr>
          <w:sz w:val="32"/>
          <w:szCs w:val="32"/>
        </w:rPr>
        <w:t xml:space="preserve"> </w:t>
      </w:r>
      <w:r>
        <w:rPr>
          <w:sz w:val="32"/>
          <w:szCs w:val="32"/>
        </w:rPr>
        <w:t>no pueden, en ningún caso, exceder</w:t>
      </w:r>
      <w:r w:rsidRPr="00E07968">
        <w:rPr>
          <w:sz w:val="32"/>
          <w:szCs w:val="32"/>
        </w:rPr>
        <w:t xml:space="preserve"> de las facultades de información que atribuye a la </w:t>
      </w:r>
      <w:r w:rsidR="00C206C2">
        <w:rPr>
          <w:sz w:val="32"/>
          <w:szCs w:val="32"/>
        </w:rPr>
        <w:t>F</w:t>
      </w:r>
      <w:r w:rsidRPr="00E07968">
        <w:rPr>
          <w:sz w:val="32"/>
          <w:szCs w:val="32"/>
        </w:rPr>
        <w:t xml:space="preserve">iscalía el </w:t>
      </w:r>
      <w:r>
        <w:rPr>
          <w:sz w:val="32"/>
          <w:szCs w:val="32"/>
        </w:rPr>
        <w:t xml:space="preserve">citado </w:t>
      </w:r>
      <w:r w:rsidR="00FA688E">
        <w:rPr>
          <w:sz w:val="32"/>
          <w:szCs w:val="32"/>
        </w:rPr>
        <w:t>Estatuto</w:t>
      </w:r>
      <w:r>
        <w:rPr>
          <w:sz w:val="32"/>
          <w:szCs w:val="32"/>
        </w:rPr>
        <w:t xml:space="preserve"> en el artículo 4.5</w:t>
      </w:r>
      <w:r w:rsidR="00C206C2">
        <w:rPr>
          <w:sz w:val="32"/>
          <w:szCs w:val="32"/>
        </w:rPr>
        <w:t>,</w:t>
      </w:r>
      <w:r w:rsidR="00791CC4">
        <w:rPr>
          <w:sz w:val="32"/>
          <w:szCs w:val="32"/>
        </w:rPr>
        <w:t xml:space="preserve"> sino que deben</w:t>
      </w:r>
      <w:r>
        <w:rPr>
          <w:sz w:val="32"/>
          <w:szCs w:val="32"/>
        </w:rPr>
        <w:t xml:space="preserve"> realizarse en el marco </w:t>
      </w:r>
      <w:r>
        <w:rPr>
          <w:sz w:val="32"/>
          <w:szCs w:val="32"/>
        </w:rPr>
        <w:lastRenderedPageBreak/>
        <w:t xml:space="preserve">de la Instrucción de la </w:t>
      </w:r>
      <w:r w:rsidR="00FA688E">
        <w:rPr>
          <w:sz w:val="32"/>
          <w:szCs w:val="32"/>
        </w:rPr>
        <w:t>Fiscalía</w:t>
      </w:r>
      <w:r w:rsidRPr="00E07968">
        <w:rPr>
          <w:sz w:val="32"/>
          <w:szCs w:val="32"/>
        </w:rPr>
        <w:t xml:space="preserve"> 3/2005 de 7 de abril sobre relaciones del Ministerio Fiscal con medios de comunicación y </w:t>
      </w:r>
      <w:r>
        <w:rPr>
          <w:sz w:val="32"/>
          <w:szCs w:val="32"/>
        </w:rPr>
        <w:t>respetar</w:t>
      </w:r>
      <w:r w:rsidR="00C206C2">
        <w:rPr>
          <w:sz w:val="32"/>
          <w:szCs w:val="32"/>
        </w:rPr>
        <w:t>, en todo caso,</w:t>
      </w:r>
      <w:r>
        <w:rPr>
          <w:sz w:val="32"/>
          <w:szCs w:val="32"/>
        </w:rPr>
        <w:t xml:space="preserve"> </w:t>
      </w:r>
      <w:r w:rsidR="00791CC4">
        <w:rPr>
          <w:sz w:val="32"/>
          <w:szCs w:val="32"/>
        </w:rPr>
        <w:t>e</w:t>
      </w:r>
      <w:r w:rsidRPr="00E07968">
        <w:rPr>
          <w:sz w:val="32"/>
          <w:szCs w:val="32"/>
        </w:rPr>
        <w:t xml:space="preserve">l Protocolo de conformidades </w:t>
      </w:r>
      <w:r>
        <w:rPr>
          <w:sz w:val="32"/>
          <w:szCs w:val="32"/>
        </w:rPr>
        <w:t>suscrito entre el Consejo General de la Abogacía y el Ministerio Fiscal</w:t>
      </w:r>
      <w:r w:rsidR="00FA688E">
        <w:rPr>
          <w:sz w:val="32"/>
          <w:szCs w:val="32"/>
        </w:rPr>
        <w:t>,</w:t>
      </w:r>
      <w:r>
        <w:rPr>
          <w:sz w:val="32"/>
          <w:szCs w:val="32"/>
        </w:rPr>
        <w:t xml:space="preserve"> para impedir que se puedan rebelar</w:t>
      </w:r>
      <w:r w:rsidRPr="00E07968">
        <w:rPr>
          <w:sz w:val="32"/>
          <w:szCs w:val="32"/>
        </w:rPr>
        <w:t xml:space="preserve"> datos que pueden perjudicar la posición del investigado en el proceso</w:t>
      </w:r>
    </w:p>
    <w:p w14:paraId="4136EECF" w14:textId="4C66BE2F" w:rsidR="00791CC4" w:rsidRDefault="00791CC4" w:rsidP="00E07968">
      <w:pPr>
        <w:ind w:left="360"/>
        <w:jc w:val="both"/>
        <w:rPr>
          <w:sz w:val="32"/>
          <w:szCs w:val="32"/>
        </w:rPr>
      </w:pPr>
      <w:r>
        <w:rPr>
          <w:sz w:val="32"/>
          <w:szCs w:val="32"/>
        </w:rPr>
        <w:t xml:space="preserve">Es por ello que </w:t>
      </w:r>
      <w:r w:rsidR="00C206C2">
        <w:rPr>
          <w:sz w:val="32"/>
          <w:szCs w:val="32"/>
        </w:rPr>
        <w:t>se requiere</w:t>
      </w:r>
      <w:r>
        <w:rPr>
          <w:sz w:val="32"/>
          <w:szCs w:val="32"/>
        </w:rPr>
        <w:t>:</w:t>
      </w:r>
    </w:p>
    <w:p w14:paraId="1F3BCBCB" w14:textId="2E4C3398" w:rsidR="00791CC4" w:rsidRDefault="00791CC4" w:rsidP="00791CC4">
      <w:pPr>
        <w:pStyle w:val="Prrafodelista"/>
        <w:numPr>
          <w:ilvl w:val="0"/>
          <w:numId w:val="6"/>
        </w:numPr>
        <w:jc w:val="both"/>
        <w:rPr>
          <w:sz w:val="32"/>
          <w:szCs w:val="32"/>
        </w:rPr>
      </w:pPr>
      <w:r>
        <w:rPr>
          <w:sz w:val="32"/>
          <w:szCs w:val="32"/>
        </w:rPr>
        <w:t>E</w:t>
      </w:r>
      <w:r w:rsidRPr="00791CC4">
        <w:rPr>
          <w:sz w:val="32"/>
          <w:szCs w:val="32"/>
        </w:rPr>
        <w:t>l máximo respeto</w:t>
      </w:r>
      <w:r>
        <w:rPr>
          <w:sz w:val="32"/>
          <w:szCs w:val="32"/>
        </w:rPr>
        <w:t xml:space="preserve"> a la</w:t>
      </w:r>
      <w:r w:rsidRPr="00791CC4">
        <w:rPr>
          <w:sz w:val="32"/>
          <w:szCs w:val="32"/>
        </w:rPr>
        <w:t xml:space="preserve"> confidencialidad de las comunicaciones entre las partes como garantía del Estado de Derecho.</w:t>
      </w:r>
    </w:p>
    <w:p w14:paraId="686D441D" w14:textId="7DA04B46" w:rsidR="00791CC4" w:rsidRPr="00791CC4" w:rsidRDefault="00791CC4" w:rsidP="00791CC4">
      <w:pPr>
        <w:pStyle w:val="Prrafodelista"/>
        <w:numPr>
          <w:ilvl w:val="0"/>
          <w:numId w:val="6"/>
        </w:numPr>
        <w:jc w:val="both"/>
        <w:rPr>
          <w:sz w:val="32"/>
          <w:szCs w:val="32"/>
        </w:rPr>
      </w:pPr>
      <w:r>
        <w:rPr>
          <w:sz w:val="32"/>
          <w:szCs w:val="32"/>
        </w:rPr>
        <w:t>Que se adopten las medidas oportunas para evitar que se produzcan este tipo de actuaciones y se garantice</w:t>
      </w:r>
      <w:r w:rsidR="00C206C2">
        <w:rPr>
          <w:sz w:val="32"/>
          <w:szCs w:val="32"/>
        </w:rPr>
        <w:t>n</w:t>
      </w:r>
      <w:r>
        <w:rPr>
          <w:sz w:val="32"/>
          <w:szCs w:val="32"/>
        </w:rPr>
        <w:t xml:space="preserve"> el respeto debido a la confidencialidad en los procesos de esta naturaleza</w:t>
      </w:r>
      <w:r w:rsidR="00C206C2">
        <w:rPr>
          <w:sz w:val="32"/>
          <w:szCs w:val="32"/>
        </w:rPr>
        <w:t>.</w:t>
      </w:r>
    </w:p>
    <w:p w14:paraId="62526CC9" w14:textId="43C10501" w:rsidR="006F5139" w:rsidRDefault="00FA688E" w:rsidP="00791CC4">
      <w:pPr>
        <w:pStyle w:val="Prrafodelista"/>
        <w:numPr>
          <w:ilvl w:val="0"/>
          <w:numId w:val="6"/>
        </w:numPr>
        <w:jc w:val="both"/>
        <w:rPr>
          <w:sz w:val="32"/>
          <w:szCs w:val="32"/>
        </w:rPr>
      </w:pPr>
      <w:r w:rsidRPr="00791CC4">
        <w:rPr>
          <w:sz w:val="32"/>
          <w:szCs w:val="32"/>
        </w:rPr>
        <w:t>La inmediata constitución de una Comisión Mixta Fiscalía General del Estado</w:t>
      </w:r>
      <w:r w:rsidR="00DE4862" w:rsidRPr="00791CC4">
        <w:rPr>
          <w:sz w:val="32"/>
          <w:szCs w:val="32"/>
        </w:rPr>
        <w:t>-</w:t>
      </w:r>
      <w:r w:rsidRPr="00791CC4">
        <w:rPr>
          <w:sz w:val="32"/>
          <w:szCs w:val="32"/>
        </w:rPr>
        <w:t>Consejo General de la Abogacía Española</w:t>
      </w:r>
      <w:r w:rsidR="00DE4862" w:rsidRPr="00791CC4">
        <w:rPr>
          <w:sz w:val="32"/>
          <w:szCs w:val="32"/>
        </w:rPr>
        <w:t>,</w:t>
      </w:r>
      <w:r w:rsidRPr="00791CC4">
        <w:rPr>
          <w:sz w:val="32"/>
          <w:szCs w:val="32"/>
        </w:rPr>
        <w:t xml:space="preserve"> para la revisión y actualización del Protocolo de actuación para juicios de conformidad</w:t>
      </w:r>
      <w:r w:rsidR="00D63762" w:rsidRPr="00791CC4">
        <w:rPr>
          <w:sz w:val="32"/>
          <w:szCs w:val="32"/>
        </w:rPr>
        <w:t>.</w:t>
      </w:r>
    </w:p>
    <w:p w14:paraId="44CFBDF6" w14:textId="77777777" w:rsidR="00C206C2" w:rsidRDefault="00C206C2" w:rsidP="00C206C2">
      <w:pPr>
        <w:jc w:val="both"/>
        <w:rPr>
          <w:sz w:val="32"/>
          <w:szCs w:val="32"/>
        </w:rPr>
      </w:pPr>
    </w:p>
    <w:p w14:paraId="5B64A7FA" w14:textId="497912B6" w:rsidR="00C206C2" w:rsidRDefault="00C206C2" w:rsidP="00C206C2">
      <w:pPr>
        <w:ind w:left="3540"/>
        <w:jc w:val="both"/>
        <w:rPr>
          <w:sz w:val="32"/>
          <w:szCs w:val="32"/>
        </w:rPr>
      </w:pPr>
      <w:r>
        <w:rPr>
          <w:sz w:val="32"/>
          <w:szCs w:val="32"/>
        </w:rPr>
        <w:t>En Madrid a 15 de marzo de 2024</w:t>
      </w:r>
    </w:p>
    <w:p w14:paraId="01812EE3" w14:textId="77777777" w:rsidR="00BC6019" w:rsidRDefault="00BC6019" w:rsidP="00C206C2">
      <w:pPr>
        <w:ind w:left="3540"/>
        <w:jc w:val="both"/>
        <w:rPr>
          <w:sz w:val="32"/>
          <w:szCs w:val="32"/>
        </w:rPr>
      </w:pPr>
    </w:p>
    <w:p w14:paraId="53F07941" w14:textId="74BD2F23" w:rsidR="00BC6019" w:rsidRPr="00C206C2" w:rsidRDefault="00BC6019" w:rsidP="00C206C2">
      <w:pPr>
        <w:ind w:left="3540"/>
        <w:jc w:val="both"/>
        <w:rPr>
          <w:sz w:val="32"/>
          <w:szCs w:val="32"/>
        </w:rPr>
      </w:pPr>
      <w:r>
        <w:rPr>
          <w:sz w:val="32"/>
          <w:szCs w:val="32"/>
        </w:rPr>
        <w:t>(El acuerdo del Pleno incluye una mención expresa a las abstenciones de los Colegios de Madrid, Alcalá de Henares y Soria)</w:t>
      </w:r>
    </w:p>
    <w:sectPr w:rsidR="00BC6019" w:rsidRPr="00C206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309"/>
    <w:multiLevelType w:val="hybridMultilevel"/>
    <w:tmpl w:val="224E5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AA2D94"/>
    <w:multiLevelType w:val="hybridMultilevel"/>
    <w:tmpl w:val="6D363A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F31FAB"/>
    <w:multiLevelType w:val="hybridMultilevel"/>
    <w:tmpl w:val="2EF283C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F177CEC"/>
    <w:multiLevelType w:val="hybridMultilevel"/>
    <w:tmpl w:val="5E6E2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9F5CF7"/>
    <w:multiLevelType w:val="hybridMultilevel"/>
    <w:tmpl w:val="5F8E56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E7B2166"/>
    <w:multiLevelType w:val="hybridMultilevel"/>
    <w:tmpl w:val="0D5E2F0C"/>
    <w:lvl w:ilvl="0" w:tplc="0C0A000F">
      <w:start w:val="1"/>
      <w:numFmt w:val="decimal"/>
      <w:lvlText w:val="%1."/>
      <w:lvlJc w:val="left"/>
      <w:pPr>
        <w:ind w:left="1150" w:hanging="360"/>
      </w:pPr>
    </w:lvl>
    <w:lvl w:ilvl="1" w:tplc="0C0A0019" w:tentative="1">
      <w:start w:val="1"/>
      <w:numFmt w:val="lowerLetter"/>
      <w:lvlText w:val="%2."/>
      <w:lvlJc w:val="left"/>
      <w:pPr>
        <w:ind w:left="1870" w:hanging="360"/>
      </w:pPr>
    </w:lvl>
    <w:lvl w:ilvl="2" w:tplc="0C0A001B" w:tentative="1">
      <w:start w:val="1"/>
      <w:numFmt w:val="lowerRoman"/>
      <w:lvlText w:val="%3."/>
      <w:lvlJc w:val="right"/>
      <w:pPr>
        <w:ind w:left="2590" w:hanging="180"/>
      </w:pPr>
    </w:lvl>
    <w:lvl w:ilvl="3" w:tplc="0C0A000F" w:tentative="1">
      <w:start w:val="1"/>
      <w:numFmt w:val="decimal"/>
      <w:lvlText w:val="%4."/>
      <w:lvlJc w:val="left"/>
      <w:pPr>
        <w:ind w:left="3310" w:hanging="360"/>
      </w:pPr>
    </w:lvl>
    <w:lvl w:ilvl="4" w:tplc="0C0A0019" w:tentative="1">
      <w:start w:val="1"/>
      <w:numFmt w:val="lowerLetter"/>
      <w:lvlText w:val="%5."/>
      <w:lvlJc w:val="left"/>
      <w:pPr>
        <w:ind w:left="4030" w:hanging="360"/>
      </w:pPr>
    </w:lvl>
    <w:lvl w:ilvl="5" w:tplc="0C0A001B" w:tentative="1">
      <w:start w:val="1"/>
      <w:numFmt w:val="lowerRoman"/>
      <w:lvlText w:val="%6."/>
      <w:lvlJc w:val="right"/>
      <w:pPr>
        <w:ind w:left="4750" w:hanging="180"/>
      </w:pPr>
    </w:lvl>
    <w:lvl w:ilvl="6" w:tplc="0C0A000F" w:tentative="1">
      <w:start w:val="1"/>
      <w:numFmt w:val="decimal"/>
      <w:lvlText w:val="%7."/>
      <w:lvlJc w:val="left"/>
      <w:pPr>
        <w:ind w:left="5470" w:hanging="360"/>
      </w:pPr>
    </w:lvl>
    <w:lvl w:ilvl="7" w:tplc="0C0A0019" w:tentative="1">
      <w:start w:val="1"/>
      <w:numFmt w:val="lowerLetter"/>
      <w:lvlText w:val="%8."/>
      <w:lvlJc w:val="left"/>
      <w:pPr>
        <w:ind w:left="6190" w:hanging="360"/>
      </w:pPr>
    </w:lvl>
    <w:lvl w:ilvl="8" w:tplc="0C0A001B" w:tentative="1">
      <w:start w:val="1"/>
      <w:numFmt w:val="lowerRoman"/>
      <w:lvlText w:val="%9."/>
      <w:lvlJc w:val="right"/>
      <w:pPr>
        <w:ind w:left="6910" w:hanging="180"/>
      </w:pPr>
    </w:lvl>
  </w:abstractNum>
  <w:num w:numId="1" w16cid:durableId="1298880590">
    <w:abstractNumId w:val="4"/>
  </w:num>
  <w:num w:numId="2" w16cid:durableId="868642243">
    <w:abstractNumId w:val="0"/>
  </w:num>
  <w:num w:numId="3" w16cid:durableId="849685983">
    <w:abstractNumId w:val="3"/>
  </w:num>
  <w:num w:numId="4" w16cid:durableId="1020279151">
    <w:abstractNumId w:val="1"/>
  </w:num>
  <w:num w:numId="5" w16cid:durableId="693264092">
    <w:abstractNumId w:val="2"/>
  </w:num>
  <w:num w:numId="6" w16cid:durableId="1568808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04"/>
    <w:rsid w:val="00102884"/>
    <w:rsid w:val="0022725F"/>
    <w:rsid w:val="002A3680"/>
    <w:rsid w:val="00363B04"/>
    <w:rsid w:val="00423355"/>
    <w:rsid w:val="004265FD"/>
    <w:rsid w:val="004D1F90"/>
    <w:rsid w:val="0055130B"/>
    <w:rsid w:val="006F5139"/>
    <w:rsid w:val="00791CC4"/>
    <w:rsid w:val="008743A6"/>
    <w:rsid w:val="00963779"/>
    <w:rsid w:val="009C4189"/>
    <w:rsid w:val="009D555E"/>
    <w:rsid w:val="00BC6019"/>
    <w:rsid w:val="00C206C2"/>
    <w:rsid w:val="00C75A00"/>
    <w:rsid w:val="00D63762"/>
    <w:rsid w:val="00DE4862"/>
    <w:rsid w:val="00E07968"/>
    <w:rsid w:val="00EF75DA"/>
    <w:rsid w:val="00FA68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C4ED"/>
  <w15:docId w15:val="{2843024F-8DEB-4249-A68C-974A4029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3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63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63B0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63B0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63B0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63B0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63B0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63B0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63B0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3B0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63B0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63B0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63B0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63B0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63B0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63B0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63B0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63B04"/>
    <w:rPr>
      <w:rFonts w:eastAsiaTheme="majorEastAsia" w:cstheme="majorBidi"/>
      <w:color w:val="272727" w:themeColor="text1" w:themeTint="D8"/>
    </w:rPr>
  </w:style>
  <w:style w:type="paragraph" w:styleId="Ttulo">
    <w:name w:val="Title"/>
    <w:basedOn w:val="Normal"/>
    <w:next w:val="Normal"/>
    <w:link w:val="TtuloCar"/>
    <w:uiPriority w:val="10"/>
    <w:qFormat/>
    <w:rsid w:val="00363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3B0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63B0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63B0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63B04"/>
    <w:pPr>
      <w:spacing w:before="160"/>
      <w:jc w:val="center"/>
    </w:pPr>
    <w:rPr>
      <w:i/>
      <w:iCs/>
      <w:color w:val="404040" w:themeColor="text1" w:themeTint="BF"/>
    </w:rPr>
  </w:style>
  <w:style w:type="character" w:customStyle="1" w:styleId="CitaCar">
    <w:name w:val="Cita Car"/>
    <w:basedOn w:val="Fuentedeprrafopredeter"/>
    <w:link w:val="Cita"/>
    <w:uiPriority w:val="29"/>
    <w:rsid w:val="00363B04"/>
    <w:rPr>
      <w:i/>
      <w:iCs/>
      <w:color w:val="404040" w:themeColor="text1" w:themeTint="BF"/>
    </w:rPr>
  </w:style>
  <w:style w:type="paragraph" w:styleId="Prrafodelista">
    <w:name w:val="List Paragraph"/>
    <w:basedOn w:val="Normal"/>
    <w:uiPriority w:val="34"/>
    <w:qFormat/>
    <w:rsid w:val="00363B04"/>
    <w:pPr>
      <w:ind w:left="720"/>
      <w:contextualSpacing/>
    </w:pPr>
  </w:style>
  <w:style w:type="character" w:styleId="nfasisintenso">
    <w:name w:val="Intense Emphasis"/>
    <w:basedOn w:val="Fuentedeprrafopredeter"/>
    <w:uiPriority w:val="21"/>
    <w:qFormat/>
    <w:rsid w:val="00363B04"/>
    <w:rPr>
      <w:i/>
      <w:iCs/>
      <w:color w:val="0F4761" w:themeColor="accent1" w:themeShade="BF"/>
    </w:rPr>
  </w:style>
  <w:style w:type="paragraph" w:styleId="Citadestacada">
    <w:name w:val="Intense Quote"/>
    <w:basedOn w:val="Normal"/>
    <w:next w:val="Normal"/>
    <w:link w:val="CitadestacadaCar"/>
    <w:uiPriority w:val="30"/>
    <w:qFormat/>
    <w:rsid w:val="00363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63B04"/>
    <w:rPr>
      <w:i/>
      <w:iCs/>
      <w:color w:val="0F4761" w:themeColor="accent1" w:themeShade="BF"/>
    </w:rPr>
  </w:style>
  <w:style w:type="character" w:styleId="Referenciaintensa">
    <w:name w:val="Intense Reference"/>
    <w:basedOn w:val="Fuentedeprrafopredeter"/>
    <w:uiPriority w:val="32"/>
    <w:qFormat/>
    <w:rsid w:val="00363B04"/>
    <w:rPr>
      <w:b/>
      <w:bCs/>
      <w:smallCaps/>
      <w:color w:val="0F4761" w:themeColor="accent1" w:themeShade="BF"/>
      <w:spacing w:val="5"/>
    </w:rPr>
  </w:style>
  <w:style w:type="paragraph" w:styleId="NormalWeb">
    <w:name w:val="Normal (Web)"/>
    <w:basedOn w:val="Normal"/>
    <w:uiPriority w:val="99"/>
    <w:semiHidden/>
    <w:unhideWhenUsed/>
    <w:rsid w:val="004D1F90"/>
    <w:pPr>
      <w:spacing w:before="100" w:beforeAutospacing="1" w:after="100" w:afterAutospacing="1" w:line="240" w:lineRule="auto"/>
    </w:pPr>
    <w:rPr>
      <w:rFonts w:ascii="Aptos" w:hAnsi="Aptos" w:cs="Aptos"/>
      <w:kern w:val="0"/>
      <w:sz w:val="24"/>
      <w:szCs w:val="24"/>
      <w:lang w:eastAsia="es-ES"/>
      <w14:ligatures w14:val="none"/>
    </w:rPr>
  </w:style>
  <w:style w:type="character" w:customStyle="1" w:styleId="contentpasted0">
    <w:name w:val="contentpasted0"/>
    <w:basedOn w:val="Fuentedeprrafopredeter"/>
    <w:rsid w:val="004D1F90"/>
  </w:style>
  <w:style w:type="paragraph" w:styleId="Textodeglobo">
    <w:name w:val="Balloon Text"/>
    <w:basedOn w:val="Normal"/>
    <w:link w:val="TextodegloboCar"/>
    <w:uiPriority w:val="99"/>
    <w:semiHidden/>
    <w:unhideWhenUsed/>
    <w:rsid w:val="00BC6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6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Borja Vargues Valencia</dc:creator>
  <cp:keywords/>
  <dc:description/>
  <cp:lastModifiedBy>Isabel García - Zarza Martínez</cp:lastModifiedBy>
  <cp:revision>2</cp:revision>
  <cp:lastPrinted>2024-03-15T11:33:00Z</cp:lastPrinted>
  <dcterms:created xsi:type="dcterms:W3CDTF">2024-03-15T17:50:00Z</dcterms:created>
  <dcterms:modified xsi:type="dcterms:W3CDTF">2024-03-15T17:50:00Z</dcterms:modified>
</cp:coreProperties>
</file>