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361"/>
        <w:gridCol w:w="6359"/>
      </w:tblGrid>
      <w:tr w:rsidR="00745540" w:rsidRPr="00EC18E2" w14:paraId="5FFE51E3" w14:textId="77777777" w:rsidTr="00D440C2">
        <w:trPr>
          <w:trHeight w:val="1267"/>
        </w:trPr>
        <w:tc>
          <w:tcPr>
            <w:tcW w:w="2361" w:type="dxa"/>
          </w:tcPr>
          <w:p w14:paraId="19C7150A" w14:textId="77777777" w:rsidR="00745540" w:rsidRPr="000118AD" w:rsidRDefault="00745540" w:rsidP="00D440C2">
            <w:pPr>
              <w:pStyle w:val="Encabezado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A71D51" wp14:editId="601C6CF0">
                  <wp:simplePos x="0" y="0"/>
                  <wp:positionH relativeFrom="column">
                    <wp:posOffset>-232727</wp:posOffset>
                  </wp:positionH>
                  <wp:positionV relativeFrom="paragraph">
                    <wp:posOffset>-158750</wp:posOffset>
                  </wp:positionV>
                  <wp:extent cx="2001260" cy="724278"/>
                  <wp:effectExtent l="0" t="0" r="0" b="0"/>
                  <wp:wrapNone/>
                  <wp:docPr id="4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260" cy="72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1" w:type="dxa"/>
          </w:tcPr>
          <w:p w14:paraId="057EF18F" w14:textId="77777777" w:rsidR="00745540" w:rsidRPr="00EC18E2" w:rsidRDefault="00745540" w:rsidP="00D440C2"/>
        </w:tc>
        <w:tc>
          <w:tcPr>
            <w:tcW w:w="6359" w:type="dxa"/>
          </w:tcPr>
          <w:p w14:paraId="7205B504" w14:textId="77777777" w:rsidR="00745540" w:rsidRPr="00BB05F0" w:rsidRDefault="00745540" w:rsidP="00D440C2">
            <w:pPr>
              <w:rPr>
                <w:rFonts w:ascii="Calibri" w:hAnsi="Calibri" w:cs="Calibri"/>
                <w:b/>
                <w:color w:val="8DB3E2"/>
              </w:rPr>
            </w:pPr>
            <w:r w:rsidRPr="00BB05F0">
              <w:rPr>
                <w:rFonts w:ascii="Calibri" w:hAnsi="Calibri" w:cs="Calibri"/>
                <w:b/>
                <w:color w:val="8DB3E2"/>
              </w:rPr>
              <w:t>Departamento de Comunicación y Marketing</w:t>
            </w:r>
          </w:p>
        </w:tc>
      </w:tr>
    </w:tbl>
    <w:p w14:paraId="3A985FFC" w14:textId="36EE7937" w:rsidR="00745540" w:rsidRDefault="00A2680E" w:rsidP="00A2680E">
      <w:pPr>
        <w:pStyle w:val="Encabezado"/>
        <w:jc w:val="center"/>
        <w:rPr>
          <w:b/>
          <w:bCs/>
        </w:rPr>
      </w:pPr>
      <w:r w:rsidRPr="00A2680E">
        <w:rPr>
          <w:b/>
          <w:bCs/>
        </w:rPr>
        <w:t>NOTA DE PRENSA</w:t>
      </w:r>
    </w:p>
    <w:p w14:paraId="75ACF823" w14:textId="77777777" w:rsidR="00A2680E" w:rsidRPr="00A2680E" w:rsidRDefault="00A2680E" w:rsidP="00A2680E">
      <w:pPr>
        <w:pStyle w:val="Encabezado"/>
        <w:jc w:val="center"/>
        <w:rPr>
          <w:b/>
          <w:bCs/>
        </w:rPr>
      </w:pPr>
    </w:p>
    <w:p w14:paraId="25E759AA" w14:textId="78663533" w:rsidR="00683954" w:rsidRPr="00683954" w:rsidRDefault="00683954" w:rsidP="00683954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  <w:r w:rsidRPr="00683954">
        <w:rPr>
          <w:rFonts w:ascii="Calibri" w:eastAsia="Calibri" w:hAnsi="Calibri"/>
          <w:b/>
          <w:sz w:val="40"/>
          <w:szCs w:val="40"/>
          <w:lang w:eastAsia="en-US"/>
        </w:rPr>
        <w:t xml:space="preserve">Los </w:t>
      </w:r>
      <w:r w:rsidR="00A2680E">
        <w:rPr>
          <w:rFonts w:ascii="Calibri" w:eastAsia="Calibri" w:hAnsi="Calibri"/>
          <w:b/>
          <w:sz w:val="40"/>
          <w:szCs w:val="40"/>
          <w:lang w:eastAsia="en-US"/>
        </w:rPr>
        <w:t>a</w:t>
      </w:r>
      <w:r w:rsidRPr="00683954">
        <w:rPr>
          <w:rFonts w:ascii="Calibri" w:eastAsia="Calibri" w:hAnsi="Calibri"/>
          <w:b/>
          <w:sz w:val="40"/>
          <w:szCs w:val="40"/>
          <w:lang w:eastAsia="en-US"/>
        </w:rPr>
        <w:t xml:space="preserve">bogados tampoco podremos este año conciliar en Navidad como los demás </w:t>
      </w:r>
    </w:p>
    <w:p w14:paraId="026347D7" w14:textId="2B3482BA" w:rsidR="000705AB" w:rsidRDefault="00454393" w:rsidP="00683954">
      <w:pPr>
        <w:jc w:val="center"/>
        <w:rPr>
          <w:rFonts w:asciiTheme="minorHAnsi" w:hAnsiTheme="minorHAnsi" w:cstheme="minorHAnsi"/>
          <w:b/>
          <w:bCs/>
        </w:rPr>
      </w:pPr>
      <w:r w:rsidRPr="00454393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5F5FAF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E32B3" wp14:editId="029161E9">
                <wp:simplePos x="0" y="0"/>
                <wp:positionH relativeFrom="column">
                  <wp:posOffset>5715</wp:posOffset>
                </wp:positionH>
                <wp:positionV relativeFrom="paragraph">
                  <wp:posOffset>151764</wp:posOffset>
                </wp:positionV>
                <wp:extent cx="58197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1D7F7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95pt" to="458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13D1EDF2" w14:textId="64220372" w:rsidR="00683954" w:rsidRPr="00683954" w:rsidRDefault="00454393" w:rsidP="00A2680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8395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5478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83954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354786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FE7D8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F5FAF" w:rsidRPr="005F5F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83954" w:rsidRPr="00683954">
        <w:rPr>
          <w:rFonts w:ascii="Calibri" w:eastAsia="Calibri" w:hAnsi="Calibri"/>
          <w:sz w:val="22"/>
          <w:szCs w:val="22"/>
          <w:lang w:eastAsia="en-US"/>
        </w:rPr>
        <w:t>El Consejo General de la Abogacía lamenta profundamente los constantes retrasos en la tramitación de las leyes de eficiencia, que va</w:t>
      </w:r>
      <w:r w:rsidR="00683954">
        <w:rPr>
          <w:rFonts w:ascii="Calibri" w:eastAsia="Calibri" w:hAnsi="Calibri"/>
          <w:sz w:val="22"/>
          <w:szCs w:val="22"/>
          <w:lang w:eastAsia="en-US"/>
        </w:rPr>
        <w:t>n</w:t>
      </w:r>
      <w:r w:rsidR="00683954" w:rsidRPr="00683954">
        <w:rPr>
          <w:rFonts w:ascii="Calibri" w:eastAsia="Calibri" w:hAnsi="Calibri"/>
          <w:sz w:val="22"/>
          <w:szCs w:val="22"/>
          <w:lang w:eastAsia="en-US"/>
        </w:rPr>
        <w:t xml:space="preserve"> a impedir al Ministerio de Justicia y los grupos parlamentarios establecer la Navidad en 2022 por fin como inhábil a efectos procesales y, por tanto, corregir una deuda histórica con los profesionales de la abogacía. </w:t>
      </w:r>
    </w:p>
    <w:p w14:paraId="77A22B10" w14:textId="77777777" w:rsidR="00683954" w:rsidRPr="00683954" w:rsidRDefault="00683954" w:rsidP="00A2680E">
      <w:pPr>
        <w:spacing w:before="0"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3954">
        <w:rPr>
          <w:rFonts w:ascii="Calibri" w:eastAsia="Calibri" w:hAnsi="Calibri"/>
          <w:sz w:val="22"/>
          <w:szCs w:val="22"/>
          <w:lang w:eastAsia="en-US"/>
        </w:rPr>
        <w:t>Paradójicamente, t</w:t>
      </w:r>
      <w:r w:rsidRPr="00683954">
        <w:rPr>
          <w:rFonts w:ascii="Calibri" w:eastAsia="Calibri" w:hAnsi="Calibri" w:cs="Calibri"/>
          <w:sz w:val="22"/>
          <w:szCs w:val="22"/>
          <w:lang w:eastAsia="en-US"/>
        </w:rPr>
        <w:t>anto el Ministerio de Justicia como el CGPJ y los propios grupos parlamentarios apoyan completamente esta reforma que permitiría establecer l</w:t>
      </w:r>
      <w:r w:rsidRPr="00683954">
        <w:rPr>
          <w:rFonts w:ascii="Calibri" w:eastAsia="Calibri" w:hAnsi="Calibri"/>
          <w:sz w:val="22"/>
          <w:szCs w:val="22"/>
          <w:lang w:eastAsia="en-US"/>
        </w:rPr>
        <w:t>a inhabilidad procesal entre los días 24 de diciembre y 6 de enero,</w:t>
      </w:r>
      <w:r w:rsidRPr="00683954">
        <w:rPr>
          <w:rFonts w:ascii="Calibri" w:eastAsia="Calibri" w:hAnsi="Calibri" w:cs="Calibri"/>
          <w:sz w:val="22"/>
          <w:szCs w:val="22"/>
          <w:lang w:eastAsia="en-US"/>
        </w:rPr>
        <w:t xml:space="preserve"> para extender la conciliación en la administración de justicia durante las fechas navideñas a los más de 160.000 profesionales de la abogacía</w:t>
      </w:r>
      <w:r w:rsidRPr="00683954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35AEFF6" w14:textId="77777777" w:rsidR="00683954" w:rsidRPr="00683954" w:rsidRDefault="00683954" w:rsidP="00A2680E">
      <w:pPr>
        <w:spacing w:before="0" w:after="200" w:line="276" w:lineRule="auto"/>
        <w:jc w:val="both"/>
        <w:rPr>
          <w:rFonts w:ascii="Calibri" w:eastAsia="Calibri" w:hAnsi="Calibri" w:cs="Calibri"/>
          <w:spacing w:val="8"/>
          <w:sz w:val="22"/>
          <w:szCs w:val="22"/>
          <w:shd w:val="clear" w:color="auto" w:fill="FFFFFF"/>
          <w:lang w:eastAsia="en-US"/>
        </w:rPr>
      </w:pPr>
      <w:r w:rsidRPr="00683954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Pr="00683954">
        <w:rPr>
          <w:rFonts w:ascii="Calibri" w:eastAsia="Calibri" w:hAnsi="Calibri"/>
          <w:sz w:val="22"/>
          <w:szCs w:val="22"/>
          <w:lang w:eastAsia="en-US"/>
        </w:rPr>
        <w:t>principios de 2021, el Ministerio de Justicia incorporó la inhabilidad en el paquete legislativo que conforman las leyes de eficiencia del servicio público de justicia</w:t>
      </w:r>
      <w:r w:rsidRPr="00683954">
        <w:rPr>
          <w:rFonts w:ascii="Calibri" w:eastAsia="Calibri" w:hAnsi="Calibri" w:cs="Calibri"/>
          <w:sz w:val="22"/>
          <w:szCs w:val="22"/>
          <w:lang w:eastAsia="en-US"/>
        </w:rPr>
        <w:t>: en concreto, en el apartado 55 del Proyecto de Ley Orgánica de Eficiencia Organizativa del Servicio Público de Justicia. Sin embargo, lo</w:t>
      </w:r>
      <w:r w:rsidRPr="00683954">
        <w:rPr>
          <w:rFonts w:ascii="Calibri" w:eastAsia="Calibri" w:hAnsi="Calibri" w:cs="Calibri"/>
          <w:spacing w:val="8"/>
          <w:sz w:val="22"/>
          <w:szCs w:val="22"/>
          <w:shd w:val="clear" w:color="auto" w:fill="FFFFFF"/>
          <w:lang w:eastAsia="en-US"/>
        </w:rPr>
        <w:t xml:space="preserve">s recientes y nuevos retrasos en la tramitación parlamentaria de estos tres últimos meses harán imposible que entre en vigor este mes. </w:t>
      </w:r>
    </w:p>
    <w:p w14:paraId="72B4809D" w14:textId="77777777" w:rsidR="00683954" w:rsidRPr="00683954" w:rsidRDefault="00683954" w:rsidP="00A2680E">
      <w:pPr>
        <w:spacing w:before="0"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954">
        <w:rPr>
          <w:rFonts w:ascii="Calibri" w:eastAsia="Calibri" w:hAnsi="Calibri" w:cs="Calibri"/>
          <w:spacing w:val="8"/>
          <w:sz w:val="22"/>
          <w:szCs w:val="22"/>
          <w:shd w:val="clear" w:color="auto" w:fill="FFFFFF"/>
          <w:lang w:eastAsia="en-US"/>
        </w:rPr>
        <w:t xml:space="preserve">Desafortunadamente, tampoco </w:t>
      </w:r>
      <w:r w:rsidRPr="00683954">
        <w:rPr>
          <w:rFonts w:ascii="Calibri" w:eastAsia="Calibri" w:hAnsi="Calibri"/>
          <w:sz w:val="22"/>
          <w:szCs w:val="22"/>
          <w:lang w:eastAsia="en-US"/>
        </w:rPr>
        <w:t xml:space="preserve">ha sido posible superar este retraso incorporando la reforma a otro Proyecto de Ley en un estado más avanzado de tramitación parlamentaria. Esta era la propuesta que la Abogacía hizo al Ministerio de Justicia, y que también recogieron positivamente todos los miembros de la Comisión de Justicia del Congreso de los Diputados el pasado mes de octubre. El actual y crispado </w:t>
      </w:r>
      <w:r w:rsidRPr="00683954">
        <w:rPr>
          <w:rFonts w:ascii="Calibri" w:eastAsia="Calibri" w:hAnsi="Calibri" w:cs="Calibri"/>
          <w:spacing w:val="8"/>
          <w:sz w:val="22"/>
          <w:szCs w:val="22"/>
          <w:shd w:val="clear" w:color="auto" w:fill="FFFFFF"/>
          <w:lang w:eastAsia="en-US"/>
        </w:rPr>
        <w:t>estado de la vida política de este país, y por extensión de la tramitación de estas otras iniciativas legislativas, lo han impedido.</w:t>
      </w:r>
    </w:p>
    <w:p w14:paraId="11B6F57C" w14:textId="07EB19BD" w:rsidR="00683954" w:rsidRPr="00683954" w:rsidRDefault="00683954" w:rsidP="00A2680E">
      <w:pPr>
        <w:spacing w:before="0" w:after="200" w:line="276" w:lineRule="auto"/>
        <w:jc w:val="both"/>
        <w:rPr>
          <w:rFonts w:ascii="Calibri" w:eastAsia="Calibri" w:hAnsi="Calibri" w:cs="Calibri"/>
          <w:spacing w:val="8"/>
          <w:sz w:val="22"/>
          <w:szCs w:val="22"/>
          <w:shd w:val="clear" w:color="auto" w:fill="FFFFFF"/>
          <w:lang w:eastAsia="en-US"/>
        </w:rPr>
      </w:pPr>
      <w:r w:rsidRPr="00683954">
        <w:rPr>
          <w:rFonts w:ascii="Calibri" w:eastAsia="Calibri" w:hAnsi="Calibri"/>
          <w:sz w:val="22"/>
          <w:szCs w:val="22"/>
          <w:lang w:eastAsia="en-US"/>
        </w:rPr>
        <w:t>Dado que tanto la Abogacía del Estado como, recientemente, los propios servicios jurídicos del Consejo General del Poder Judicial han emitido informe</w:t>
      </w:r>
      <w:r>
        <w:rPr>
          <w:rFonts w:ascii="Calibri" w:eastAsia="Calibri" w:hAnsi="Calibri"/>
          <w:sz w:val="22"/>
          <w:szCs w:val="22"/>
          <w:lang w:eastAsia="en-US"/>
        </w:rPr>
        <w:t>s</w:t>
      </w:r>
      <w:r w:rsidRPr="00683954">
        <w:rPr>
          <w:rFonts w:ascii="Calibri" w:eastAsia="Calibri" w:hAnsi="Calibri"/>
          <w:sz w:val="22"/>
          <w:szCs w:val="22"/>
          <w:lang w:eastAsia="en-US"/>
        </w:rPr>
        <w:t xml:space="preserve"> determinando que sólo cabe decretar la inhabilidad por ley, tampoco será posible adoptar una medida como la que el CGPJ adoptó </w:t>
      </w:r>
      <w:r w:rsidRPr="00683954">
        <w:rPr>
          <w:rFonts w:ascii="Calibri" w:eastAsia="Calibri" w:hAnsi="Calibri" w:cs="Calibri"/>
          <w:spacing w:val="8"/>
          <w:sz w:val="22"/>
          <w:szCs w:val="22"/>
          <w:shd w:val="clear" w:color="auto" w:fill="FFFFFF"/>
          <w:lang w:eastAsia="en-US"/>
        </w:rPr>
        <w:t>en marzo de 2020 el CGPJ para dar respuesta a la pandemia, sustentada en Real Decreto Ley al tratarse de un supuesto de urgencia.</w:t>
      </w:r>
    </w:p>
    <w:p w14:paraId="32F43FA2" w14:textId="28C8A282" w:rsidR="00683954" w:rsidRPr="00683954" w:rsidRDefault="00683954" w:rsidP="00A2680E">
      <w:pPr>
        <w:spacing w:before="0"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954">
        <w:rPr>
          <w:rFonts w:ascii="Calibri" w:eastAsia="Calibri" w:hAnsi="Calibri"/>
          <w:sz w:val="22"/>
          <w:szCs w:val="22"/>
          <w:lang w:eastAsia="en-US"/>
        </w:rPr>
        <w:t xml:space="preserve">En definitiva, se pierde la oportunidad de corregir un agravio para </w:t>
      </w:r>
      <w:r w:rsidRPr="00683954">
        <w:rPr>
          <w:rFonts w:ascii="Calibri" w:eastAsia="Calibri" w:hAnsi="Calibri" w:cs="Calibri"/>
          <w:sz w:val="22"/>
          <w:szCs w:val="22"/>
          <w:lang w:eastAsia="en-US"/>
        </w:rPr>
        <w:t xml:space="preserve">los más de 160.000 profesionales de la abogacía, que tampoco este mes de diciembre podrán disponer de la </w:t>
      </w:r>
      <w:r w:rsidRPr="00683954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flexibilidad de la que sí disponen para conciliar en </w:t>
      </w:r>
      <w:r w:rsidR="00B0167C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683954">
        <w:rPr>
          <w:rFonts w:ascii="Calibri" w:eastAsia="Calibri" w:hAnsi="Calibri" w:cs="Calibri"/>
          <w:sz w:val="22"/>
          <w:szCs w:val="22"/>
          <w:lang w:eastAsia="en-US"/>
        </w:rPr>
        <w:t xml:space="preserve">avidad el resto de los profesionales de la administración de justicia. La </w:t>
      </w:r>
      <w:r w:rsidRPr="00683954">
        <w:rPr>
          <w:rFonts w:ascii="Calibri" w:eastAsia="Calibri" w:hAnsi="Calibri"/>
          <w:sz w:val="22"/>
          <w:szCs w:val="22"/>
          <w:lang w:eastAsia="en-US"/>
        </w:rPr>
        <w:t xml:space="preserve">inhabilidad para el periodo navideño seguirá siendo una reclamación histórica, que tendrá que esperar a la aprobación de alguna de las tres leyes de eficiencia del servicio público de justicia, en actual tramitación parlamentaria. Esperemos que el actual estado de la vida política y parlamentaria de este país lo permita. </w:t>
      </w:r>
    </w:p>
    <w:p w14:paraId="79766581" w14:textId="4BEC5F96" w:rsidR="00716F62" w:rsidRDefault="00FE7D8A" w:rsidP="00FE7D8A">
      <w:pPr>
        <w:spacing w:before="0"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 </w:t>
      </w:r>
      <w:r w:rsidR="00716F62">
        <w:rPr>
          <w:rFonts w:asciiTheme="minorHAnsi" w:hAnsiTheme="minorHAnsi" w:cstheme="minorHAnsi"/>
          <w:b/>
          <w:bCs/>
        </w:rPr>
        <w:t>más información</w:t>
      </w:r>
    </w:p>
    <w:p w14:paraId="31D0C273" w14:textId="77777777" w:rsidR="00716F62" w:rsidRDefault="00716F62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  <w:b/>
          <w:bCs/>
        </w:rPr>
      </w:pPr>
    </w:p>
    <w:p w14:paraId="34D55B77" w14:textId="4B951AB1" w:rsidR="00716F62" w:rsidRDefault="00716F62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Dpto. de Comunicación del Consejo General de la Abogacía Española</w:t>
      </w:r>
    </w:p>
    <w:p w14:paraId="322DDE6E" w14:textId="17725946" w:rsidR="00716F62" w:rsidRPr="00716F62" w:rsidRDefault="00716F62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</w:rPr>
      </w:pPr>
      <w:r w:rsidRPr="00716F62">
        <w:rPr>
          <w:rFonts w:asciiTheme="minorHAnsi" w:hAnsiTheme="minorHAnsi" w:cstheme="minorHAnsi"/>
        </w:rPr>
        <w:t xml:space="preserve">Paseo de Recoletos </w:t>
      </w:r>
      <w:proofErr w:type="spellStart"/>
      <w:r w:rsidRPr="00716F62">
        <w:rPr>
          <w:rFonts w:asciiTheme="minorHAnsi" w:hAnsiTheme="minorHAnsi" w:cstheme="minorHAnsi"/>
        </w:rPr>
        <w:t>nº</w:t>
      </w:r>
      <w:proofErr w:type="spellEnd"/>
      <w:r w:rsidRPr="00716F62">
        <w:rPr>
          <w:rFonts w:asciiTheme="minorHAnsi" w:hAnsiTheme="minorHAnsi" w:cstheme="minorHAnsi"/>
        </w:rPr>
        <w:t xml:space="preserve"> 7-9</w:t>
      </w:r>
    </w:p>
    <w:p w14:paraId="18D79EB6" w14:textId="3459E155" w:rsidR="00716F62" w:rsidRPr="00716F62" w:rsidRDefault="00716F62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</w:rPr>
      </w:pPr>
      <w:r w:rsidRPr="00716F62">
        <w:rPr>
          <w:rFonts w:asciiTheme="minorHAnsi" w:hAnsiTheme="minorHAnsi" w:cstheme="minorHAnsi"/>
        </w:rPr>
        <w:t>Tfno. 91 532 17 69</w:t>
      </w:r>
    </w:p>
    <w:p w14:paraId="77265896" w14:textId="25B5E758" w:rsidR="00716F62" w:rsidRPr="00716F62" w:rsidRDefault="00000000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</w:rPr>
      </w:pPr>
      <w:hyperlink r:id="rId9" w:history="1">
        <w:r w:rsidR="00716F62" w:rsidRPr="00716F62">
          <w:rPr>
            <w:rStyle w:val="Hipervnculo"/>
            <w:rFonts w:asciiTheme="minorHAnsi" w:hAnsiTheme="minorHAnsi" w:cstheme="minorHAnsi"/>
          </w:rPr>
          <w:t>prensa@abogacia.es</w:t>
        </w:r>
      </w:hyperlink>
      <w:r w:rsidR="00716F62" w:rsidRPr="00716F62">
        <w:rPr>
          <w:rFonts w:asciiTheme="minorHAnsi" w:hAnsiTheme="minorHAnsi" w:cstheme="minorHAnsi"/>
        </w:rPr>
        <w:t xml:space="preserve"> </w:t>
      </w:r>
    </w:p>
    <w:p w14:paraId="4E78EAFE" w14:textId="5AAE46A8" w:rsidR="00716F62" w:rsidRPr="00716F62" w:rsidRDefault="00000000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</w:rPr>
      </w:pPr>
      <w:hyperlink r:id="rId10" w:history="1">
        <w:r w:rsidR="00716F62" w:rsidRPr="00716F62">
          <w:rPr>
            <w:rStyle w:val="Hipervnculo"/>
            <w:rFonts w:asciiTheme="minorHAnsi" w:hAnsiTheme="minorHAnsi" w:cstheme="minorHAnsi"/>
          </w:rPr>
          <w:t>www.abogacia.es</w:t>
        </w:r>
      </w:hyperlink>
      <w:r w:rsidR="00716F62" w:rsidRPr="00716F62">
        <w:rPr>
          <w:rFonts w:asciiTheme="minorHAnsi" w:hAnsiTheme="minorHAnsi" w:cstheme="minorHAnsi"/>
        </w:rPr>
        <w:t xml:space="preserve"> </w:t>
      </w:r>
    </w:p>
    <w:p w14:paraId="6AD9922A" w14:textId="77777777" w:rsidR="00716F62" w:rsidRPr="000705AB" w:rsidRDefault="00716F62" w:rsidP="000705AB">
      <w:pPr>
        <w:spacing w:before="240" w:after="120" w:line="240" w:lineRule="auto"/>
        <w:rPr>
          <w:rFonts w:asciiTheme="minorHAnsi" w:hAnsiTheme="minorHAnsi" w:cstheme="minorHAnsi"/>
          <w:b/>
          <w:bCs/>
        </w:rPr>
      </w:pPr>
    </w:p>
    <w:sectPr w:rsidR="00716F62" w:rsidRPr="000705AB" w:rsidSect="00745540">
      <w:foot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8E42" w14:textId="77777777" w:rsidR="00526F7A" w:rsidRDefault="00526F7A" w:rsidP="00745540">
      <w:pPr>
        <w:spacing w:before="0" w:after="0" w:line="240" w:lineRule="auto"/>
      </w:pPr>
      <w:r>
        <w:separator/>
      </w:r>
    </w:p>
  </w:endnote>
  <w:endnote w:type="continuationSeparator" w:id="0">
    <w:p w14:paraId="5C555609" w14:textId="77777777" w:rsidR="00526F7A" w:rsidRDefault="00526F7A" w:rsidP="007455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89D0" w14:textId="1519D934" w:rsidR="00745540" w:rsidRDefault="00745540" w:rsidP="00745540">
    <w:pPr>
      <w:pStyle w:val="Piedepgina"/>
      <w:spacing w:after="100" w:afterAutospacing="1"/>
      <w:jc w:val="center"/>
    </w:pPr>
    <w:r w:rsidRPr="00EC18E2">
      <w:rPr>
        <w:sz w:val="18"/>
        <w:szCs w:val="18"/>
      </w:rPr>
      <w:t>Consejo General de la Abogacía Española</w:t>
    </w:r>
    <w:r>
      <w:rPr>
        <w:sz w:val="18"/>
        <w:szCs w:val="18"/>
      </w:rPr>
      <w:br/>
    </w:r>
    <w:proofErr w:type="spellStart"/>
    <w:r w:rsidRPr="00EC18E2">
      <w:rPr>
        <w:sz w:val="18"/>
        <w:szCs w:val="18"/>
      </w:rPr>
      <w:t>Tfno</w:t>
    </w:r>
    <w:proofErr w:type="spellEnd"/>
    <w:r w:rsidRPr="00EC18E2">
      <w:rPr>
        <w:sz w:val="18"/>
        <w:szCs w:val="18"/>
      </w:rPr>
      <w:t>: 9</w:t>
    </w:r>
    <w:r>
      <w:rPr>
        <w:sz w:val="18"/>
        <w:szCs w:val="18"/>
      </w:rPr>
      <w:t xml:space="preserve">1523 25 93; Fax: 91 532 64 38; </w:t>
    </w:r>
    <w:r>
      <w:rPr>
        <w:sz w:val="18"/>
        <w:szCs w:val="18"/>
      </w:rPr>
      <w:br/>
    </w:r>
    <w:proofErr w:type="spellStart"/>
    <w:r w:rsidRPr="00EC18E2">
      <w:rPr>
        <w:sz w:val="18"/>
        <w:szCs w:val="18"/>
      </w:rPr>
      <w:t>Pº</w:t>
    </w:r>
    <w:proofErr w:type="spellEnd"/>
    <w:r w:rsidRPr="00EC18E2">
      <w:rPr>
        <w:sz w:val="18"/>
        <w:szCs w:val="18"/>
      </w:rPr>
      <w:t xml:space="preserve"> de Recoletos, 13; 28004-MADRID</w:t>
    </w:r>
    <w:r>
      <w:rPr>
        <w:sz w:val="18"/>
        <w:szCs w:val="18"/>
      </w:rPr>
      <w:br/>
    </w:r>
    <w:hyperlink r:id="rId1" w:history="1">
      <w:r w:rsidRPr="00F437A2">
        <w:rPr>
          <w:rStyle w:val="Hipervnculo"/>
          <w:sz w:val="18"/>
          <w:szCs w:val="18"/>
        </w:rPr>
        <w:t>prensa@abogacia.es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B2FC" w14:textId="77777777" w:rsidR="00526F7A" w:rsidRDefault="00526F7A" w:rsidP="00745540">
      <w:pPr>
        <w:spacing w:before="0" w:after="0" w:line="240" w:lineRule="auto"/>
      </w:pPr>
      <w:r>
        <w:separator/>
      </w:r>
    </w:p>
  </w:footnote>
  <w:footnote w:type="continuationSeparator" w:id="0">
    <w:p w14:paraId="38CC8258" w14:textId="77777777" w:rsidR="00526F7A" w:rsidRDefault="00526F7A" w:rsidP="007455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4419"/>
    <w:multiLevelType w:val="hybridMultilevel"/>
    <w:tmpl w:val="5BD09E96"/>
    <w:lvl w:ilvl="0" w:tplc="F3883B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788A"/>
    <w:multiLevelType w:val="hybridMultilevel"/>
    <w:tmpl w:val="2654B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C7AB2"/>
    <w:multiLevelType w:val="hybridMultilevel"/>
    <w:tmpl w:val="C0C4B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151120">
    <w:abstractNumId w:val="1"/>
  </w:num>
  <w:num w:numId="2" w16cid:durableId="302151491">
    <w:abstractNumId w:val="0"/>
  </w:num>
  <w:num w:numId="3" w16cid:durableId="20409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0"/>
    <w:rsid w:val="000705AB"/>
    <w:rsid w:val="000F0ADE"/>
    <w:rsid w:val="00354786"/>
    <w:rsid w:val="00367301"/>
    <w:rsid w:val="00454393"/>
    <w:rsid w:val="00475F9A"/>
    <w:rsid w:val="00526F7A"/>
    <w:rsid w:val="005F5FAF"/>
    <w:rsid w:val="00683954"/>
    <w:rsid w:val="00716F62"/>
    <w:rsid w:val="00745540"/>
    <w:rsid w:val="00A2680E"/>
    <w:rsid w:val="00B0167C"/>
    <w:rsid w:val="00B84D1E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06DC"/>
  <w15:chartTrackingRefBased/>
  <w15:docId w15:val="{9122FE2F-B49E-4B57-95BE-051D31A4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45540"/>
    <w:pPr>
      <w:spacing w:before="120" w:after="60" w:line="288" w:lineRule="auto"/>
    </w:pPr>
    <w:rPr>
      <w:rFonts w:ascii="Optima" w:eastAsia="Times New Roman" w:hAnsi="Optim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55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5540"/>
    <w:rPr>
      <w:rFonts w:ascii="Optima" w:eastAsia="Times New Roman" w:hAnsi="Optim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7455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540"/>
    <w:rPr>
      <w:rFonts w:ascii="Optima" w:eastAsia="Times New Roman" w:hAnsi="Optima" w:cs="Times New Roman"/>
      <w:sz w:val="24"/>
      <w:szCs w:val="24"/>
      <w:lang w:eastAsia="es-ES"/>
    </w:rPr>
  </w:style>
  <w:style w:type="character" w:styleId="Hipervnculo">
    <w:name w:val="Hyperlink"/>
    <w:rsid w:val="007455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05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16F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4786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bogaci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nsa@abogacia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abogac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D51B-4AEC-414C-B8AF-C55187A6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SÁNCHEZ LLAMAS</dc:creator>
  <cp:keywords/>
  <dc:description/>
  <cp:lastModifiedBy>ILUSTRE COLEGIO DE ABOGADOS CUENCA</cp:lastModifiedBy>
  <cp:revision>2</cp:revision>
  <dcterms:created xsi:type="dcterms:W3CDTF">2022-12-02T11:42:00Z</dcterms:created>
  <dcterms:modified xsi:type="dcterms:W3CDTF">2022-12-02T11:42:00Z</dcterms:modified>
</cp:coreProperties>
</file>